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не представил доказательств, свидетельствующих, что его имущественное положение на момент подачи жалобы не позволяет ему уплатить при обращении с кассационной жалобой государственную пошлину в установленном размере.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«Хронопэй Восток»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«Хронопэй Восток» на решение Арбитражного суда города Москвы от 20.02.2021 по делу № А40-186415/2020, постановление Девятого арбитражного апелляционного суда от 13.05.2021 и постановление Арбитражного суда Московского округа от 30.08.2021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