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«Мегаснаб-Сервис» обратилось в суд с заявлениями, впоследствии объединёнными в одно производство для совместного рассмотрения, о признании недействительным сделками перечислений в 2013 году денежных средств в пользу закрытого акционерного общества «Альянс-Лизинг». Определением Арбитражного суда города Санкт-Петербурга и Ленинградской области от 25.11.2020, оставленным без изменения постановлениями Тринадцатого арбитражного апелляционного суда от 21.04.2021 и Арбитражного суда Северо-Западного округа от 29.07.2021, отказано в удовлетворении заявлений. В кассационной жалобе, поданной в Верховный Суд Российской Федерации, заявитель просит изменить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 и 199 Гражданского кодекса Российской Федерации, статей 61.1-61.3 Федерального закона от 26.10.2002 № 127-ФЗ «О несостоятельности (банкротстве), пришли к выводу об отсутствии оснований для удовлетворения заявления ввиду совершения оспариваемых платежей в рамках обычной хозяйственной деятельности, указав, в том числе на пропуск срока исковой давности, что является самостоятельным основанием для отказа в удовлетворении требований.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Производственная Нано Технологическая Индустриальная Корпорация О.С.М.»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