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27.10.2020, оставленным без изменения постановлениями судов апелляционной инстанции от 25.02.2021 и округа от 07.07.2021, исковые требования удовлетворены. В кассационной жалобе, поданной в Верховный Суд Российской Федерации, заявитель просит обжалуемые судебные акты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2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суды руководствовались положениями статей 309, 310, 313, 807, 810 Гражданского кодекса Российской Федерации и исходили из доказанности наличия и размера задолженности ответчика перед истцом из договора займа, предоставленного в целях погашения требований кредиторов в рамках дела о банкротстве ответчика. При таких условиях суды удовлетворили заявленные требования.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