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09.12.2020, оставленным без изменения постановлением суда апелляционной инстанции от 24.03.2021, в реестр включено требование общества «Прима-мех эксплуатация» в размере 72 884 693,66 руб., в части требований в размере 8 077 232,51 руб. производство прекращено. Постановлением суда округа от 30.06.2021 названные судебные акты отменены, обособленный спор направлен на новое рассмотрение. В кассационной жалобе, поданной в Верховный Суд Российской Федерации, заявитель просит обжалуемый судебный акт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2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судебные акты судов первой и апелляционной инстанций, суд округа руководствовался положениями статей 16, 71, 100 Федерального закона от 26.10.2002 № 127-ФЗ «О несостоятельности (банкротстве)» с учетом разъяснений, изложенных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 (утвержден Президиумом Верховного Суда Российской Федерации 29.01.2020), и исходил из того, что суды не дали оценку доводам возражавших лиц, ссылавшихся на аффилированность кредитора с должником, а также на то, что предоставленное финансирование являлось компенсационным. В целях исправления названных нарушений суд округа направил обособленный спор на новое рассмотрение. При новом рассмотрении заявитель не лишен возможности приводить доводы и представлять доказательства в обоснование своей позиции по спору.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