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03.03.2021, оставленным без изменения постановлением Пятого арбитражного апелляционного суда от 29.04.2021, в удовлетворении требований отказано. 2 Постановлением Арбитражного суда Дальневосточного округа от 04.08.2021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признав доказанным антимонопольным органом факт заключения и реализации соглашения между хозяйствующими субъектами, повлекшего поддержание цен на электронном аукционе, руководствуясь положениями Федерального закона от 26.07.2006 № 135-ФЗ «О защите конкуренции», суды пришли к выводу о наличии в действиях общества состава правонарушения, ответственность за совершение которого предусмотрена частью 2 статьи 14.32 Кодекса Российской Федерации об административных правонарушениях. Нарушений процедуры привлечения к административной ответственности не установлено, срок давности привлечения к административной ответственности соблюден. 3 Основания для применения статей 2.9 и 4.1.1 Кодекса Российской Федерации об административных правонарушениях, а также положений части 3.2 статьи 4.1 Кодекса Российской Федерации об административных правонарушениях и снижения размера штрафа не выявлены. При этом совместное поведение участников сговора не исключает самостоятельной ответственности каждого субъекта за результат своих противоправных действий. Доводы жалобы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