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03.03.2021, оставленным без изменения постановлением Пятого арбитражного апелляционного суда от 29.04.2021, в удовлетворении требований отказано. 2 Постановлением Арбитражного суда Дальневосточного округа от 10.08.2021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признав доказанным антимонопольным органом факт заключения и реализации соглашения между хозяйствующими субъектами, повлекшего поддержание цен на электронном аукционе,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3 Основания для применения статей 2.9 и 4.1.1 Кодекса Российской Федерации об административных правонарушениях, а также положений части 3.2 статьи 4.1 Кодекса Российской Федерации об административных правонарушениях и снижения размера штрафа не выявлены. При этом совместное поведение участников сговора не исключает самостоятельной ответственности каждого субъекта за результат своих противоправных действий.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