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«Ржевский рыбоводный комплекс» обратилось в Верховный Суд Российской Федерации с кассационной жалобой на решение Арбитражного суда Московской области от 27.11.2020 по делу № А41-55039/2020, постановление Десятого арбитражного апелляционного суда от 08.02.2021 и постановление Арбитражного суда Московского округа от 31.05.2021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«Ржевский рыбоводный комплекс» о восстановлении пропущенного срока подачи кассационной жалобы удовлетворить. Срок подачи кассационной жалобы на решение Арбитражного суда Московской области от 27.11.2020 по делу № А41-55039/2020, постановление Десятого арбитражного апелляционного суда от 08.02.2021 и постановление Арбитражного суда Московского округа от 31.05.2021 по тому же делу восстановить. Судья Верховного СудаРоссийской Федерации Д.В. Тютин Суд: Верховный Суд РФ (подробнее) Истцы: ООО "Ржевский Рыбоводный Комплекс" (подробнее) Ответчики: Управление Федеральной службы по ветеринарному и фитосанитарному надзору по Тверской области (подробнее) Последние документы по делу: Определение от 27 октября 2021 г. по делу № А41-55039/2020 Определение от 2 сентября 2021 г. по делу № А41-55039/2020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