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24.12.2020, оставленным без изменения постановлением Тринадцатого арбитражного апелляционного суда от 22.03.2021, в удовлетворении требования отказано. 2 Постановлением Арбитражного суда Северо-Западного округа от 30.06.2021 указанные судебные акты оставлены без изменения. Общество обратилось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Исходя из доводов жалобы и принятых по делу судебных актов,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Оценив представленные доказательства, руководствуясь положениями статей 11, 17 Федерального закона от 01.04.1996 № 27-ФЗ «Об индивидуальном (персонифицированном) учете в системе обязательного пенсионного страхования», суды отказали в удовлетворении заявленного требования, установив, что факт нарушения законодательства обществом не оспаривается, наличия смягчающих обстоятельств для снижения финансовой санкции не выявлено. Доводы кассационной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