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привлечении к субсидиарной ответственности Правительства Российской Федерации, Министерства финансов Российской Федерации, Министерства экономического развития Российской Федерации, Правительства Чеченской Республики, Министерства финансов Чеченской Республики, Министерства имущественных и земельных отношений Чеченской Республики, Министерства строительства и жилищно-коммунального хозяйства Чеченской Республики (далее – субсидиарные ответчики); взыскании с субсидиарных ответчиков солидарно 2 645 538 650 рублей. Определением Арбитражного суда Чеченской Республики от 15.01.2021 в удовлетворении заявления отказано в полном объёме. Постановлением Шестнадцатого арбитражного апелляционного суда от 27.04.2021, оставленным без изменения постановлением Арбитражного суда Северо-Кавказского округа от 04.08.2021, данное определение отменено; производство по заявлению прекращено.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 и подтверждая законность такого прекращения, суды апелляционной инстанции и округа руководствовались пунктом 2 части 1 статьи 150 Арбитражного процессуального кодекса Российской Федерации, пунктом 57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того, что в рамках настоящего дела о банкротстве по иному обособленному спору ранее уже рассмотрено заявление иного кредитора – общества с ограниченной ответственностью «Сити Строй», тождественное по предмету и основаниям требованию общества, не подтвердившего наличия уважительных причин для неприсоединения к групповому иску к субсидиарным ответчикам.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Кроме того, в просительной части кассационной жалобы заявитель просит отменить определение Арбитражного суда Чеченской Республики от 15.01.2021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акта суда первой инстанции вступившим в силу постановлением апелляционного суда от 27.04.2021.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«Асет»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Шестнадцатого арбитражного апелляционного суда от 27.04.2021 и постановления Арбитражного суда Северо-Кавказского округа от 04.08.2021 по делу № А77-993/2010. Производство по кассационной жалобе общества с ограниченной ответственностью «Асет» в части обжалования определения Арбитражного суда Чеченской Республики от 15.01.2021по тому же делу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