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задолженности в размере 46 719 761 рубля 36 копеек. Определением Арбитражного суда Челябинской области от 11.11.2020, оставленным без изменения постановлениями Восемнадцатого арбитражного апелляционного суда от 24.02.2021 и Арбитражного суда Уральского округа от 28.06.2021, требование в размере 46 626 453 рубля 36 копеек признано обоснованным и подлежащим удовлетворению в очерёдности, предшествующей распределению ликвидационной квоты должника; производство по требованию общества в части судебных расходов по уплате государственной пошлины в сумме 93 581 рубль прекращено.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Исходя из доводов кассационной жалобы, заявитель не согласен с выводами судов о наличии оснований для субординирования его требования.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71, 100, 142, 148 Федерального закона от 26.10.2002 № 127-ФЗ «О несостоятельности (банкротстве)», установив, что посредством займа должник, имеющий неисполненные обязательства и признаки имущественного кризиса, фактически получил от заинтересованного лица компенсационное финансирование, понизили очерёдность удовлетворения заявленного требования.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«Высокодисперсные металлические порошки»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