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привлечении к субсидиарной ответственности Френкеля Бориса Ефимовича, акционерного общества «Электропроект» (далее – общество), общества с ограниченной ответственностью «Промбурвод экология», Френкель Юлии Борисовны (далее – ответчики); взыскании с них 10 901 162 рубля 29 копеек. Определением Арбитражного суда Красноярского края от 18.02.2021, оставленным без изменения постановлениями Третьего арбитражного апелляционного суда от 05.05.2021 и Арбитражного суда Восточно-Сибирского округа от 30.07.2021,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Красноярского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4 статьи 10 Федерального закона от 26.10.2002 № 127-ФЗ «О несостоятельности (банкротстве)», применительно к фактическим обстоятельствам исходили из отсутствия совокупности условий для наступления субсидиарной ответственности ответчиков по заявленным конкурсным кредитором основаниям ввиду недоказанности противоправного поведения названных лиц, убыточного характера сделок по предоставлению должнику компенсационного финансирования и замене должника подрядчика на общество, причинно- следственной связи между их действиями (бездействием) и банкротством должника. Выводы судов соответствуют нормам права, оснований для переоценки этих выводов не имеется. Нарушений норм материального права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«Сибирский научно – исследовательский и проектный институт цветной металлургии» Михееву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