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обратился в суд с заявлением о разрешении разногласий между ним и акционерным обществом «Газпромбанк» (далее – гарант), признании требования гаранта в размере 1 147 721 135 рублей 65 копеек по кредитному соглашению об открытии кредитной линии №1519-028-810К от 24.05.2019 не подлежащим удовлетворению в составе текущих платежей должника. Определением Арбитражного суда города Санкт – Петербурга и Ленинградской области от 28.08.2020, оставленным без изменения постановлениями Тринадцатого арбитражного апелляционного суда от 25.03.2021 и Арбитражного суда Северо-Западного округа от 06.07.2021,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Арбитражный суд города Санкт – 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 и отказывая в удовлетворении заявления, суды, руководствуясь статьями 5, 60 Федерального закона от 26.10.2002 № 127-ФЗ «О несостоятельности (банкротстве)», пунктами 1, 3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банкротстве», исходили из того, что требования банка относятся к категории текущих и не подлежат включению в реестр.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временному управляющему открытым акционерным обществом по строительству метрополитена в городе Санкт-Петербурге «Метрострой» Авдееву Григорию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