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Ягубова Александра Михайловна обратилась в суд с заявлением о привлечении Эрмантраута Ю.Э. к субсидиарной ответственности по обязательствам должника. Определением Арбитражного суда Брянской области от 07.08.2020, оставленным без изменения постановлениями Двадцатого арбитражного апелляционного суда от 18.02.2021 и Арбитражного суда Центрального округа от 29.06.2021, признано доказанным наличие оснований для привлечения Эрмантраута Ю.Э. к субсидиарной ответственности, производство по рассмотрению заявления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Брянской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61.10, 61.11,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 ввиду непередачи конкурсному управляющему вопреки требованиям закона и вступившему в силу судебному акту бухгалтерской, иной первичной документации и материальных ценностей должника застройщика, что воспрепятствовало проведению мероприятий по установлению и взысканию дебиторской задолженности, формированию конкурсной массы и проведению расчётов с кредиторами.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Эрмантрауту Юрию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