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17.03.2020, оставленным без изменения постановлением Тринадцатого арбитражного апелляционного суда от 25.02.2021 и постановлением Арбитражного суда Северо-Западного округа от 05.07.2021, иск удовлетворен.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статьями 15, 1064 Гражданского кодекса Российской Федерации, положениями Федерального закона от 13.03.2006 № 38-ФЗ «О рекламе»,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исследовав и оценив представленные в материалы дела доказательства по правилам статьи 71 Арбитражного процессуального кодекса Российской Федерации, установив, что при размещении обществом спорных вывесок на фасаде дома, находящегося в управлении компании, не были нарушены требования закона и их демонтаж последней является неправомерным, суды первой и апелляционной инстанций пришли к выводу о наличии оснований для удовлетворения иска,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«Жилкомсервис № 2 Московского района»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