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21.01.2021, оставленным без изменения постановлением Семнадцатого арбитражного апелляционного суда от 26.03.2021, в удовлетворении заявленного требования отказано. Постановлением Арбитражного суда Уральского округа от 30.06.2021 указанные судебные акты оставлены без изменения. Общество просит отменить обжалуемые судебные акты, заявленные требования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14, 372, 374, 378 Налогового кодекса Российской Федерации, статей 11, 15 Федерального закона от 29.11.2001 № 156-ФЗ «Об инвестиционных фондах», статей 2, 21 Федерального закона от 06.12.2011 № 402-ФЗ «О бухгалтерском учете», суды отказали в удовлетворении требований, признав, что общество как управляющая компания обязана обеспечить для целей налогообложения налогом на имущество организаций учет объектов 3 недвижимого имущества, составляющего паевой инвестиционный фонд, на отдельном балансе, вести по нему самостоятельный учет, исчислять налог на имущество организаций и уплачивать его в бюджет. Обжалуя судебные акты в Верховный Суд Российской Федерации, общество приводит доводы, которые являлись предметом исследования судов и получили исчерпывающую правовую оценку с учетом установленных обстоятельств, связанных с режимом имущества паевого инвестиционного фонда и стандартами бухучета.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