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09.12.2020, оставленным без изменения постановлением Восемнадцатого арбитражного апелляционного суда от 26.02.2021 и постановлением Арбитражного суда Уральского округа от 05.07.2021, иск удовлетворен. В кассационной жалобе, поданной в Верховный Суд Российской Федерации, администрация, ссылаясь на нарушение судами норм права, просит отменить указанные судебные акты и направить дело на новое рассмотрение в Арбитражный суд Челябинской области в ином составе судей.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393,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доказанности предпринимателем наличия совокупности условий, необходимых для взыскания с администрации убытков.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Кизильского муниципального района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