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залога движимого имущества от 24.03.2017, заключенного между должником и закрытым акционерным обществом «СОМАП», применении последствий недействительности сделки. Определением Арбитражного суда города Москвы от 05.06.2019 в удовлетворении заявления отказано. Постановлением Девятого арбитражного апелляционного суда от 23.08.2019 вышеуказанное определение отменено, заявление удовлетворено. Постановлением Арбитражного суда Московского округа от 07.11.2019 отменено постановление апелляционного суда от 23.08.2019, определение суда первой инстанции от 05.06.2019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350 , 350.1 , 352 Гражданского кодекса Российской Федерации, статьями 61.1, 61.3 Федерального закона от 26.10.2002 № 127-ФЗ «О несостоятельности (банкротстве)», пунктом 12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 из недоказанности совокупности условий, необходимых для признания сделки недействительной (осведомлённости общества о неудовлетворительном состоянии должника, а также цели причинения вреда имущественным правам кредиторов).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по доводам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«Кредо»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"Квенбергер" (подробнее) ИФНС №22 по Москве (подробнее) ООО "КВАРТАЛСЕРВИС" (подробнее) ООО Нагатино-Сервис (подробнее) ПАО Банк ВТБ (подробнее) ПАО "Промсвязьбанк" (подробнее) Фонд содействия кредитованию малого бизнеса Москвы (подробнее) Ответчики: ООО "Кредо" (подробнее) ООО Кредо (подробнее) Иные лица: ЗАО "СОМАП" (подробнее) ООО "ЛК Марко Групп" (подробнее) ООО "Паритет" (подробнее) ООО "Солод-Транс" (подробнее) ООО "Стройбетон" (подробнее) ООО "Торговый дом СФЗ" (подробнее) СПИ МОСП по особым исполнительным производствам УФССП России по Орловской области Бурлаков Д.И. (подробнее) Судьи дела: Корнелюк Е.С. (судья) (подробнее) Последние документы по делу: Определение от 5 марта 2020 г. по делу № А40-110273/2017 Определение от 2 марта 2020 г. по делу № А40-110273/2017 Показать все документы по этому делу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