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4 006 683 рубля 62 копейки. Определением Арбитражного суда Иркутской области 29.12.2020, оставленным без изменения постановлениями Четвёртого арбитражного апелляционного суда от 02.04.2021 и Арбитражного суда Восточно-Сибирского округа от 01.07.2021,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акты, принять по делу новый судебный акт о признании требования в заявленном размере обоснованным и подлежащим включению в третью очередь реестра.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статьёй 313 Гражданского кодекса Российской Федерации, статьями 71, 100, 142 Федерального закона от 26.10.2002 № 127-ФЗ «О несостоятельности (банкротстве)», установив, что задолженность перед обществом погашена за должника третьим лицом в полном объёме и без злоупотребления правом, признали требование необоснованным и отказали во включении его в реестр.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Доводы, изложенные в настоящей жалобе,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«Фарм-Логистик» Пономаренко Александру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