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Газин А.Б. обратился в суд с заявлением о взыскании с Федеральной налоговой службы 1 592 000 рублей вознаграждения за процедуру конкурсного производства, ходатайствуя о восстановлении срока на подачу своего заявления. Определением Арбитражного суда города Москвы от 22.01.2021, оставленным без изменения постановлениями Девятого арбитражного апелляционного суда от 21.04.2021 и Арбитражного суда Московского округа от 28.07.2021, в восстановлении пропущенного срока и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112, 117 Арбитражного процессуального кодекса Российской Федерации, пунктом 52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пропуска заявителем шестимесячного срока подачи заявления о взыскании вознаграждения, признав причины пропуска срока неуважительными.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Газину Андрею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