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предприниматель обратился в суд с заявлением о взыскании с Федеральной налоговой службы (далее – уполномоченный орган) стоимости его услуг как привлечённого в процедуре конкурсного производства лица в размере 1 920 000 рублей, ходатайствуя о восстановлении срока на подачу своего заявления. Определением Арбитражного суда города Москвы от 12.03.2021, оставленным без изменения постановлениями Девятого арбитражного апелляционного суда от 03.06.2021 и Арбитражного суда Московского округа от 26.08.2021, в восстановлении пропущенного срока и во взыскании с уполномоченного органа денежных средств в заявленном размере отказано.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пунктом 52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того, что пропустивший процессуальный срок на предъявление своего требования предприниматель не привел доказательств оказания им юридических услуг и связанного с этим несения расходов в процедуре конкурсного производства.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Шмитову Дмитрию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