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октября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обратился в суд с заявлением о признании недействительными сделок по перечислению должником в пользу общества платёжными поручениями от 24.07.2014 № 186, от 21.01.2015 № 7 и от 22.09.2015 № 245 денежных средств в общем размере 259 264 рубля 25 копеек; применении последствий недействительности сделок. Определением Арбитражного суда города Москвы от 21.01.2021, оставленным без изменения постановлением Девятого арбитражного апелляционного суда от 13.04.2021, заявление удовлетворено. Постановлением Арбитражного суда Московского округа от 30.06.2021 принятые по спору судебные акты в части признания недействительными платежей от 24.07.2014 и от 21.01.2015 на общую сумму 210 000 рублей отменены, в отменённой части в удовлетворении заявления отказано. В остальной части определение суда первой инстанции и постановление апелляционного суда оставлены без изменения. В кассационных жалобах, поданных в Верховный Суд Российской Федерации, общество просит полностью отменить названные судебные акты и принять по делу новый судебный акт об отказе в удовлетворении заявления; конкурсный управляющий просит отменить постановление суда округа, 2 оставить в силе определение суда первой инстанции и постановление апелляционного суда.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кассационных жалоб таких оснований не установлено. Разрешая спор, суды первой и апелляционной инстанции, установив, что оспариваемые платежи совершены в пользу заинтересованного лица по мнимой сделке, прикрывающей вывод активов должника, удовлетворили заявление. Частично отменяя принятые по спору судебные акты, окружной суд в целом согласился с содержащимися в них выводами, однако применив к платежам от 24.07.2014 и от 21.01.2015 срок исковой давности, о пропуске которого заявлено стороной спора, отказал в признании их недействительными. Выводы судов соответствуют нормам права, оснований для переоценки этих выводов не имеется. Существенных нарушений норм материального и (или) процессуального права, которые бы повлияли на исход судебного разбирательства, судами не допущено. Основания для передачи кассационных жалоб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«Аэрокосмический инжиниринговый центр «Союз» и конкурсному управляющему обществом с ограниченной ответственностью «Кредо Эстейт» Лазуткину Денису Владимировичу в передаче поданных ими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