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залоговый кредитор – банк обратился в суд с заявлением о разрешении разногласий, возникших между конкурсным управляющим должником Аглинишкене Светланой Анатольевной и банком, по порядку оплаты услуг организатору торгов и отнесения вознаграждения организатора торгов по реализации имущества должника, находящегося в залоге, в размере 25 684 727 рублей 40 копеек, на залогового кредитора; а также по порядку распределения денежных средств, подлежащих направлению на погашение требований граждан – участников строительства и кредиторов первой и второй очереди. Определением Арбитражного суда Московской области от 21.12.2020, оставленным без изменения постановлениями Десятого арбитражного апелляционного суда от 17.03.2021 и Арбитражного суда Московского округа от 29.06.2021, конкурсный управляющий обязан произвести распределение денежных средств, полученных от реализации заложенного имущества в пользу банка следующим образом: в размере 2% в сумме 25 684 727 рублей 40 копеек в пользу организатора торгов, за счёт средств банка; в размере 60% в сумме 770 541 822 рублей в пользу банка; в размере 25% в сумме 321 059 092 рублей 50 копеек в порядке пп. 2 п. 1 ст. 201.14 Федерального закона от 26.10.2002 № 127-ФЗ «О несостоятельности (банкротстве)» (далее – Закон о банкротстве); 2 в размере 10% в сумме 128 423 637 рублей в порядке пп. 3 п. 1 ст. 201.14 Закона о банкротстве; в размере 5% в сумме 64 211 818 рублей 50 копеек в порядке пп. 4 п.1 ст. 201.14 Закона о банкротстве. Распределение денежных средств на удовлетворение требований участников строительства третьей очереди определено произвести после исключения денежных требований участников строительства, обязательства перед которыми фактически удовлетворены. За банком признано право на удовлетворение требований з а счёт денежных средств от реализации имущества, заложенного в пользу иных залоговых кредиторов, в порядке пп. 2-4 п. 1 ст. 201.14 Закона о банкротстве, за исключением доли, приходящейся на банк.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20.7 и 138 Закона о банкротстве, исходили из того, что оплату услуг организатора торгов в связи с реализацией заложенного имущества осуществляет банк как кредитор, требования которого обеспечены залогом имущества должника и принявший соответствующее решение о привлечении организатора торгов, а также о вознаграждении последнего.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Дом.РФ»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