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действий по перечислению с расчётного счёта должника в пользу ФИО1 денежных средств в размере 2 840 000 рублей и применении последствий её недействительности в виде взыскания в пользу должника указанной суммы. Определением Арбитражного суда Ханты-Мансийского автономного округа – Югры от 19.10.2020, оставленным без изменения постановлениями Восьмого арбитражного апелляционного суда от 27.01.2021 и Арбитражного суда Западно-Сибирского округа от 28.07.2021, заявление удовлетворено частично, признано недействительным перечисление ФИО1 денежных средств в размере 2 100 000 рублей, применены последствия недействительности сделки в виде взыскания в конкурсную массу должника 2 100 000 рублей,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Исходя из содержания настоящей жалобы, заявитель не согласен с судебными актами в части удовлетворения заявления конкурного управляющего.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части оспариваемых перечислений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реальности встречного исполнения, пришли к выводу о частичной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"ВЭБ-лизинг" (подробнее) ГОСУДАРСТВЕННОЕ КАЗЕННОЕ УЧРЕЖДЕНИЕ РЕСПУБЛИКИ БАШКОРТОСТАН ЦЕНТР ОРГАНИЗАЦИИ ДОРОЖНОГО ДВИЖЕНИЯ (подробнее) Инспекция Федеральной налоговой службы по г. Сургуту Ханты-Мансийского автономного округа - Югры (подробнее) МУП "Управление городского хозяйства" муниципального образования города Пыть-Ях (подробнее) ООО "Новотех-МБ" (подробнее) ООО "ПРАДА" (подробнее) ООО "РН-Юганскнефтегаз" (подробнее) ООО САГМА (подробнее) СОЮЗ "САМОРЕГУЛИРУЕМАЯ ОРГАНИЗАЦИЯ "ОРГАНИЗАЦИЯ ПРОФЕССИОНАЛЬНЫХ УЧАСТНИКОВ СТРОИТЕЛЬНОГО РЫНКА" (подробнее) Ответчики: ООО "Инновационные технологии" (подробнее) Иные лица: Ассоциации арбитражных управляющих "Солидарность" (подробнее) АССОЦИАЦИЯ "САМОРЕГУЛИРУЕМАЯ ОРГАНИЗАЦИЯ АРБИТРАЖНЫХ УПРАВЛЯЮЩИХ ЦЕНТРАЛЬНОГО ФЕДЕРАЛЬНОГО ОКРУГА" (подробнее) Конкурсный управляющий Батин Александр Витальевич (подробнее) ООО КОМПАНИЯ "СТРОЙСЕРВИС" (подробнее) ООО НАУЧНО-ПРОИЗВОДСТВЕННАЯ ОРГАНИЗАЦИЯ "АКВАИНЖИНИРИНГ" (подробнее) ООО "Стройсервис" (подробнее) Управление Федеральной налоговой службы по Ханты-Мансийскому автономному округу - Югре (подробнее) УФНС по ХМАО-Югре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