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26.11.2020, оставленным без изменения постановлением Восемнадцатого арбитражного апелляционного суда от 09.03.2021, в удовлетворении заявленных требований отказано. Постановлением Арбитражного суда Уральского округа от 01.07.2021 указанные судебные акты оставлены без изменения. В кассационной жалобе, поступившей в Верховный Суд Российской Федерации, предприниматель просит отменить состоявшиеся по делу судебные акты, ссылаясь на допущенные, по ее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39 , 41 , 217 , 346.15 Налогового кодекса Российской Федерации, суды отказали в удовлетворении заявленных требований, признав доказанным наличие у налогового органа правовых оснований для вынесения оспариваемого решения. При этом суды исходили из того, что доходы от реализации заявителем объектов недвижимости связаны с осуществлением предпринимательской деятельности и подлежали учету при исчислении налога за проверяемый период. По смыслу положений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Таких оснований, исходя из доводов жалобы, не установлено. В случае излишней уплаты налога на доходы физических лиц заявитель не лишена возможности уточнить свои налоговые обязательства в установленном законом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УФНС РОССИИ ПО ЧЕЛЯБИНСКОЙ ОБЛАСТИ (подробнее) ФНС России Межрайонная инспекция №23 по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