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29.01.2021, оставленным без изменения постановлениями Седьмого арбитражного апелляционного суда от 07.04.2021 и Арбитражного суда Западно-Сибирского округа от 14.07.2021, в удовлетворении заявленного требования отказано. В кассационной жалобе общество ставит вопрос об отмене принятых по делу судебных актов, ссылаясь на существенное нарушение судами норм материального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общество обратилось в антимонопольный орган с жалобой на действия департамента (далее - заказчик), выразившиеся в установлении в документации о проведении открытого конкурса в электронной форме на выполнение работ, связанных с осуществлением регулярных перевозок пассажиров и багажа автомобильным транспортом по межмуниципальным маршрутам по регулируемым тарифам, спорных показателей для оценки заявок по нестоимостному критерию, а также во включении в документацию маршрута, сведения о котором отсутствуют в реестре межмуниципальных маршрутов регулярных перевозок Томской области. По результатам рассмотрения жалобы общества антимонопольным органом принято решение о признании жалобы необоснованной. Не соглашаясь с указанным ненормативным правовым актом управления, общество обратилось в арбитражный суд. Исследовав и оценив представленные в материалы дела доказательства, руководствуясь положениями статей 32, 33, 54.3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Федерального закона от 26.07.2006 № 135-ФЗ «О защите конкуренции», Федерального закона от 13.07.2015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Федерации», суды пришли к выводу о законности оспариваемого решения антимонопольного органа. Судебные инстанции исходили из отсутствия нарушений законодательства о контрактной системе в действиях заказчика. При исследовании обстоятельств установлено, что конкурсная документация не содержит положений, противоречащих требованиям действующего законодательства; к показателям качества транспортного обслуживания населения могут быть отнесены любые характеристики 3 транспортного средства, используемого для осуществления регулярных перевозок, которые могут повлиять на доступность, надежность, комфортность, безопасность, своевременность и стабильность таких перевозок; установление заказчиком требований к объекту закупки не приводит к необоснованному ограничению количества участников конкурса. Изложенные в кассационной жалобе доводы с учетом фактических обстоятельств дела не свидетельствуют о допущенной при рассмотрении дела судебной ошибке, не подтверждают существенных нарушений судами норм материального права и (или) норм процессуального права, повлиявших на исход дела. Иная оценка заявителем фактических обстоятельств дела и иное толкование к ним положений закона в силу статьи 291.6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«Автотранс»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