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города Москвы от 01.02.2021, оставленным без изменения постановлением Девятого арбитражного апелляционного суда от 20.04.2021 и постановлением Арбитражного суда Московского округа от 19.08.2021, исковые требования удовлетворены. Департамент просит отменить обжалуемые судебные акты, ссылаясь на нарушение судами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Гражданского кодекса Российской Федерации, суды удовлетворяя требования общества, исходили из того, что объект был введен в эксплуатацию с задержкой по причинам не зависящим от подрядчика, а также на момент получения Департаментом выплаты по банковской гарантии отпали основания для взыскания штрафа за неисполнение контракта, поскольку получение документов на оконченный строительством объект невозможно без прямого участия заказчика строительства. Доводы Департамента были предметом исследования судов и мотивированно отклонены, по сути, направлены на переоценку доказательств и 3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