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04.12.2020, оставленным без изменения постановлением Одиннадцатого арбитражного апелляционного суда от 24.02.2021, в удовлетворении требований отказано. Постановлением Арбитражного суда Поволжского округа от 23.06.2021 указанные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Налогового кодекса Российской Федерации, Гражданского кодекса Российской Федерации, суды в удовлетворении требований отказали, признав, что обществом пропущен срок исковой давности для обращения в суд с соответствующим заявлением, кроме того указали, что уплаченные в большем размере суммы налога, суммы страховых взносов, признаются излишне уплаченными страховыми взносами, а не неосновательным обогащением. Обжалуя судебные акты в Верховный Суд Российской Федерации, общество приводит доводы, которые являлись предметом исследования судов и получили исчерпывающую правовую оценку с учетом установленных обстоятельств, связанных с определением момента, когда общество узнало о нарушении своего права.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"Гравилат", г.Набережные Челны (подробнее) Ответчики: ГУ Управление Пенсионного фонда Российской Федерации в г.Набережные Челны межрайонное, г.Набережные Челны (подробнее) Инспекция Федеральной налоговой службы по городу Набережные Челны, г.Набережные Челны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