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26.12.2020, оставленным без изменения постановлением Пятнадцатого арбитражного апелляционного суда от 26.03.2021, в удовлетворении требований отказано. Постановлением Арбитражного суда Северо-Кавказского округа от 18.06.2021 указанные судебные акты оставлены без изменения. Предприниматель просит отменить обжалуемые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Налогового кодекса Российской Федерации, суды в удовлетворении требований отказали, признав, что предпринимателем пропущен как срок для обращения в фонд с заявлением о возврате излишне уплаченных сумм страховых взносов, так и срок исковой давности для обращения в суд с соответствующим заявлением. Обжалуя судебные акты в Верховный Суд Российской Федерации, предприниматель приводит доводы, которые являлись предметом исследования судов и получили исчерпывающую правовую оценку с учетом установленных обстоятельств, связанных с определением момента, когда предприниматель узнал о нарушении своего права.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ГУ УПРАВЛЕНИЕ ПЕНСИОННОГО ФОНДА РОССИЙСКОЙ ФЕДЕРАЦИИ В Г. НОВОЧЕРКАССКЕ РОСТОВСКОЙ ОБЛАСТИ МЕЖРАЙОННОЕ (подробнее) Иные лица: Межрайонная инспекция Федеральной налоговой службы №13 по Ростовской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