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19.04.2021, оставленным без изменения постановлением Восьмого арбитражного апелляционного суда от 19.04.2021 и постановлением Арбитражного суда Западно-Сибирского округа от 27.07.2021, в удовлетворении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2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 и отказывая в удовлетворении иска, суды руководствовались статьями 195, 196, 199, 200, 1102, 1103 Гражданского кодекса Российской Федерации и исходили из недоказанности истцом наличия на стороне ответчика неосновательного обогащения, а также пропуска им срока исковой давности, о чем было заявлено ответчиком. Выводы судов подробно мотивированы в обжалуемых судебных актах.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НПП «СПЕЦТЕХ»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