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12.03.2021, оставленным без изменения постановлением Первого арбитражного апелляционного суда от 22.04.2021 и постановлением Арбитражного суда Волго-Вятского округа от 21.07.2021, производство по делу прекращено.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в Арбитражный суд Нижегородской области для рассмотрения по существу.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обжалуемых судебных актов и доводов кассационной жалобы не установлено. Исследовав и оценив правилам статьи 71 Арбитражного процессуального кодекса Российской Федерации представленные в материалы дела доказательства, установив, что требование предпринимателя о взыскании с общества неосновательного обогащения было ранее рассмотрено судом общей юрисдикции в рамках дела № 2-2586/18, судебный акт по которому вступил в законную силу, проанализировав процессуальное поведение предпринимателя и выявив злоупотребление правом, руководствуясь положениями статей 41, 111, 150 Арбитражного процессуального кодекса Российской Федерации, суд первой инстанции пришел к выводу о наличии оснований для прекращения производства по делу с отнесением судебных расходов на истца. С выводами суда первой инстанции согласились апелляционный и окружной суды.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Дзепы Дмитрия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