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Жилищно-коммунального хозяйства обратилось в Арбитражный суд Самарской области с исковым заявлением к обществу с ограниченной ответственностью «ЮРИСТ ПЛЮС» (далее – общество) о взыскании 428 831 руб. 25 коп. убытков. Решением Арбитражного суда Самарской области от 03.04.2021 иск удовлетворен. Общество обратилось в Одиннадцатый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Одиннадцатый арбитражный апелляционный суд определением от 18.05.2021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Поволжского округа от 07.07.2021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обществу апелляционную жалобу, суд апелляционной инстанции руководствовался статьями 113 , 114 , 117 , 121 , 123 , 259 , 264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общество, извещенное надлежащим образом о судебном процессе, не привело уважительных причин, объективно препятствующих подаче жалобы в установленный законом срок. Суд округа поддержал выводы апелляционного суда. Изложенные в кассационной жалобе доводы не подтверждают существенных нарушений норм права, которые могли повлиять на исход дела, и не являются достаточным основанием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«ЮРИСТ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8 декабря 2021 г. по делу № А55-12084/2020 Определение от 22 октября 2021 г. по делу № А55-12084/2020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