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22.12.2020 исковые требования удовлетворены. Постановлением Одиннадцатого арбитражного апелляционного суда от 23.03.2021 решение суда первой инстанции отменено, в удовлетворении исковых требований отказано. Постановлением Арбитражного суда Поволжского округа от 12.07.2021 постановление суда апелляционной инстанции. В кассационной жалобе, поданной в Верховный Суд Российской Федерации, общество, ссылаясь на нарушение апелляционным и окружным судами норм права, просит отменить их постановления и принять по делу новый судебный акт.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Отменяя решение суда первой инстанции и отказывая в удовлетворении исковых требований, суд апелляционной инстанции, руководствуясь статьями 309, 310, 395, 407, 708, 425, 453, 779, 781, 782, 1102, 1103 Гражданского кодекса Российской Федерации,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исходил из того, что спорные денежные средства получены ответчиком в рамках заключенного сторонами договора от 16.10.2019 № 19/03-223, который не предусматривает денежных обязательств ответчика перед истцом, действует до момента исполнения сторонами своих обязательств и в установленном порядке не расторгнут и не прекращен. Суд округа поддержал выводы апелляционного суда. Доводы кассационной жалобы были предметом рассмотрения судов апелляционной инстанции и округа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«Торгово-производственная компания МТЗ-Татарстан»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