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Давлетбаев Раил Хафизович (далее – кредитор) обратился в суд с иском о привлечении Фетисова С.В. к субсидиарной ответственности по обязательствам общества с ограниченной ответственностью «Колакс» (далее – должник). Решением Арбитражного суда города Москвы от 09.11.2020, оставленным без изменения постановлениями Девятого арбитражного апелляционного суда от 24.02.2021 и Арбитражного суда Московского округа от 25.06.2021, с Фетисова С.В. в порядке субсидиарной ответственности по обязательствам должника в пользу кредитора взыскано 11 435 816 рублей.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Удовлетворяя иск, суды, руководствуясь статьями 61.10, 61.11, 61.19 Федерального закона от 26.10.2002 № 127-ФЗ «О несостоятельности (банкротстве)», исходили из доказанности совокупности условий для привлечения к субсидиарной ответственности в размере непогашенной перед кредитором задолженности руководителя и учредителя должника, вопреки требованиям закона и акта арбитражного суда, не передавшего временному управляющему бухгалтерскую и иную документацию, что привело к невозможности поиска и установления имущества контролируемой организации, проверки легитимности его отчуждения в пользу иных лиц.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Фетисову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