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недействительным договора от 01.10.2016, заключенного между должником и ФИО1, о передаче ФИО1 имущества в счет задолженности. Определением Арбитражного суда Московской области от 22.04.2019, оставленным без изменения постановлением Десятого арбитражного апелляционного суда от 05.09.2019 и постановлением Арбитражного суда Московского округа от 17.03.2020, заявление удовлетворено, применены последствия недействительности договора путем взыскания с ФИО1 11 414 290 руб. В кассационной жалобе ФИО1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61.1, 61.2 (пункт 1), 61.6 Федерального закона от 26.10.2002 № 127-ФЗ «О несостоятельности (банкротстве)», статьей 167 Гражданского кодекса Российской Федерации и исходили из доказанности совокупности условий, необходимых признания договора недействительным, в том числе неравноценности встречного предоставления, фактической безвозмездности договора, а также соблюдения конкурсным управляющим сроков исковой давности. Применяя последствия недействительности договора, суды учли нахождение имущества у третьих лиц.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С.В. Самуйлов Суд: Верховный Суд РФ (подробнее) Истцы: ООО "Бюро упаковки и этикетки" (подробнее) ООО "ИНТЕРНЭШНЛ МИТ ДЖИ ЭФ СИ" (подробнее) ООО "Научно-исследовательский центр "Столичный Эксперт" (подробнее) ООО "Продсвет" (подробнее) ООО "ТК"БелСтар" (подробнее) ООО "Торговый Дом "АГРОЛЭНД" (подробнее) ООО "Торговый Дом "Лесное" (подробнее) Ответчики: ООО "Золотой век" (подробнее) пальшина надежда сергеевна москва бестужевых д.12 кв 220 (подробнее) Иные лица: ИФНС по г. Мытищи (подробнее) ИФНС России по г.Мытищи МО (подробнее) НП "Саморегулируемая организация абритражных управляющих "Меркурий" (подробнее) ООО "Инстант" (подробнее) Судьи дела: Самуйлов С.В. (судья) (подробнее)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