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(далее – банк) обратилось с заявлением о признании должника несостоятельным (банкротом). Определением Арбитражного суда Краснодарского края от 10.12.2020, оставленным без изменения постановлениями Пятнадцатого арбитражного апелляционного суда от 28.03.2021 и Арбитражного суда Северо-Кавказского округа от 22.06.2021, заявление банка признано обоснованным, в отношении должника введена процедура наблюдения, временным управляющим утверждён Алтунин В.А., в третью очередь реестра требований кредиторов должника включены требования банка в сумме 1 111 977 425 рублей 75 копеек, из которых 274 612 291 рубля 65 копеек неустойки учтены в реестре отдельно, как подлежащие удовлетворению после погашения основной суммы задолженности и причитающихся процентов. В кассационной жалобе, поданной в Верховный Суд Российской Федерации, заявитель просить отменить указанные судебные акты,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наличие основания для введения в отношении должника процедуры наблюдения, суды, руководствуясь положениями статей 7, 48 и 62 Федерального закона от 26.10.2002 № 127-ФЗ «О несостоятельности (банкротстве)», исходили из наличия у должника признаков несостоятельности, а также обоснованности и подтверждённости требований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прекращении поручительства и несвоевременной публикации сообщения о намерении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«Омни»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