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«МТСБанк» (далее – банк) обратилось в суд с заявлением о взыскании с бывшего руководителя должника Семашко Петра Олеговича и бывшего главного бухгалтера должника Головиной Л.В. в пользу должника убытков в размере 37 867 569 рублей. Определением Арбитражный суд Новосибирской области от 10.02.2021, оставленным без изменения постановлением Седьмого арбитражного апелляционного суда от 05.05.2021, заявление удовлетворено частично, с Семашко П.О. в пользу должника взыскано 17 389 181 рубль убытков, отказано в удовлетворении остальной части требований. Постановлением Арбитражного суда Западно-Сибирского округа от 29.07.2021 отменены определение суда первой инстанции от 10.02.2021 и постановление апелляционного суда от 05.05.2021 в части отказа в удовлетворении требований к Головиной Л.В., в отменённой части обособленный спор направлен на новое рассмотрение в Арбитражный суд Новосибирской области. В кассационной жалобе, поданной в Верховный Суд Российской Федерации, заявитель просит отменить указанное постановление суда округа, оставить в силе определение суда первой инстанции и постановление апелляционного суда.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Частично направляя спор на новое рассмотрение, суд округа, руководствуясь статьями 15 и 1064 Гражданского кодекса Российской Федерации, статьи 7 Федерального закона от 06.12.2011 № 402-ФЗ «О бухгалтерском учете», указав на то, что недоказанность наличия у ответчика статуса контролирующего должника лица само по себе не освобождает такое лицо от гражданско-правовой ответственности в виде взыскания убытков, исходил из несоответствия выводов судов фактическим обстоятельствам дела и имеющимся в деле доказательствам, что привело к вынесению необоснованных судебных актов. При новом рассмотрении судам необходимо дать мотивированную оценку доводам банка, а также представленным в дело доказательствам, в том числе материалам выездной налоговой проверки.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Приведённые в нём выводы соответствуют нормам права, оснований для переоценки этих выводов по доводам жалобы не имеется. При новом рассмотрении заявитель не лишена возможности изложить свои доводы со ссылками на нормы права и имеющиеся в деле доказательства, поскольку обособленный спор в части направлен судом округа на новое рассмотрение, а вопрос об удовлетворении либо отказе в удовлетворении заявления конкурсного управляющего должником не был окончательно разрешён.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Головиной Любови Васильевне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