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«ГеоСтрой» (далее – общество) обратилось в суд с заявлением о включении в реестр требований кредиторов (далее – реестр) 2 168 040 рублей – неотработанного аванса, 1 325 000 рублей – убытков, 2 405 600 рублей – убытков, 915 624 рублей – штрафов. Определением Арбитражного суда города Москвы от 11.02.2021, оставленным без изменения постановлением Девятого арбитражного апелляционного суда от 27.04.2021, заявление удовлетворено. Постановлением Арбитражного суда Московского округа от 14.07.2021 данные судебные акты в части включения в реестр убытков в размере 1 325 000 рублей и в размере 2 405 600 рублей отменены, в отменённой части обособленный спор направлен на новое рассмотрение в Арбитражный суд города Москвы. В остальной части определение суда первой инстанции от 11.02.2021 и постановление апелляционного суда от 27.04.2021 оставлены без изменения. В кассационной жалобе, поданной в Верховный Суд Российской Федерации, заявитель просит полностью отменить названные судебные акты и направить обособленный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руководствуясь статьями 71, 100, 137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 факт ненадлежащего исполнения должником субподрядчиком своих обязательств перед обществом подрядчиком, признали требования обоснованными и подлежащими включению в реестр. Суд округа в целом согласился с данными выводами, однако признал выводы судов в части требований преждевременными, основанными на неполном установлении фактических обстоятельств дела, направив обособленный спор в отменённой части на новое рассмотрение в суд первой инстанции.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«Свайные основания и фундаменты» Макарову Владимиру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