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01.03.2021, оставленным без изменения постановлениями Девятого арбитражного апелляционного суда от 19.04.2021 и Арбитражного суда Московского округа от 06.07.2021, завершена процедура реализации имущества, Настенко И.В. освобождена от дальнейшего исполнения требований кредиторов, в том числе не заявленных в процедурах банкротства. В кассационной жалобе, поданной в Верховный Суд Российской Федерации, заявитель просит отменить указанные судебные акты, дело направить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Завершая процедуру реализации имущества должника, суды, руководствуясь положениями статьи 213.28 Федерального закона от 26.10.2002 № 127-ФЗ «О несостоятельности (банкротстве)», исходили из выполнения всех мероприятий в рамках процедуры банкротства и отсутствия оснований для дальнейшего продления процедуры, признали наличие возможности применения в отношении должника правил об освобождении от исполнения обязательств ввиду недоказанности наличия правовых основания для неприменения данных правил.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«Совкомбанк»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