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29.01.2021 заявленные требования удовлетворены. Постановлением Девятого арбитражного апелляционного суда от 19.03.2021 решение суда первой инстанции отменено, в удовлетворении требования отказано. 2 Постановлением Арбитражного суда Московского округа от 29.07.2021 постановление суда апелляционной инстанции оставлено без изменения. Общество обратилось в Верховный Суд Российской Федерации с кассационной жалобой, в которой просит постановления судов апелляционной и кассационной инстанций отменить, считая их незаконными и необоснованными.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 выявленный административным органом факт, свидетельствующий о нарушении обществом особых требований и правил розничной продажи алкогольной и спиртосодержащей продукции. Частью 3 статьи 14.16 Кодекса Российской Федерации об административных правонарушениях установлена ответственность за нарушение особых требований и правил розничной продажи алкогольной и спиртосодержащей продукции, за исключением случаев, предусмотренных частью 2 статьи 14.17.1 настоящего Кодекса. Руководствуясь положениями статьи 11 Федерального закона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Федерального закона от 27.12.2019 № 468-ФЗ «О виноградарстве и виноделии в Российской Федерации», Правилами продажи отдельных видов товаров, утвержденными постановлением Правительства РФ от 19.01.1998 № 55, суд апелляционной инстанции отменил решение суда первой инстанции, пришел к выводу о наличии в действиях общества состава правонарушения, ответственность за которое предусмотрена частью 3 статьи 14.16 Кодекса Российской Федерации об административных правонарушениях, установив нарушение обществом 3 особых требований и правил розничной продажи алкогольной и спиртосодержащей продукции, без отделения винодельческой продукции от вин России. Суд округа согласился с выводами суда апелляционной инстанции. Процедура и срок давности привлечения к административной ответственности соблюдены. Оснований для применения статьи 2.9 Кодекса Российской Федерации об административных правонарушениях судами не установлено. Доводы жалобы были предметом исследования судов апелляционной и кассационной инстанций и получили исчерпывающую правовую оценку применительно к установленным обстоятельствам,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