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по электромонтажу электростанций и подстанций «Электроуралмонтаж» (далее – общество) обратилось в Арбитражный суд города Москвы с иском к акционерному обществу «Теплоэнергетическая компания Мосэнерго» (далее – компания) о взыскании 403 213 руб. 51 коп. процентов, начисленных на основании статьи 395 Гражданского кодекса Российской Федерации. Решением Арбитражного суда города Москвы от 24.11.2020, оставленным без изменения постановлением Девятого арбитражного апелляционного суда от 18.02.2021 и постановлением Арбитражного суда Московского округа от 04.06.2021, в удовлетворении иска отказано. 2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города Москвы.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Согласно пункту 2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 Как установлено судами и следует из материалов дела, компания (генподрядчик) и общество (субподрядчик) заключили договоры субподряда от 02.10.2013 № 05/Н/13-9517, от 25.12.2013 № 05/Н/13-56281, от 28.02.2014 № 05/Н/14-56342, от 21.04.2014 № 05/Н/14-56444, от 30.06.2015 № 05/Н-15-57242, от 30.06.2015 № 05/Н/15-57269, от 23.07.2015 № 05/7Н/15-57321 (далее – договоры) на выполнение работ на производственно-технологическом комплексе Нижнетуринской ГРЭС по адресу: Свердловская обл., г. Нижняя Тура, ул. Нагорная, 22. Работы по указанным договорам выполнены субподрядчиком надлежащим образом и в установленном договорами порядке сданы генподрядчику по актам окончательной приемки. В соответствии с условиями договоров генподрядчик произвел удержание гарантийных сумм из денежных средств, выплачиваемых субподрядчику за выполненные работы. Вступившим в законную силу решением Арбитражного суда города Москвы от 14.11.2019 по делу № А40-229591/2019 с компании в пользу 3 общества взыскано 5 500 711 руб. 08 коп. задолженности по выплате гарантийного удержания по договорам. Указанное решение суда исполнено компанией частично (в сумме 219 653 руб. 67 коп.) 10.02.2020, а в полном объеме – 28.02.2020. Ссылаясь на несвоевременную выплату компанией гарантийных удержаний, общество обратилось в арбитражный суд с настоящим иском о взыскании процентов за пользование чужими денежными средствами. Отказывая в удовлетворении исковых требований, суды первой и апелляционной инстанций сослались на положения статей 329, 330, 331, 395, 421, 431 Гражданского кодекса Российской Федерации (далее – ГК РФ) и исходили из того, что настоящий спор возник в связи с просрочкой возврата суммы гарантийного удержания, которая входит в состав оплаты по договорам; в пункте 11.15 договоров стороны согласовали условие о неустойке за ненадлежащее исполнение генподрядчиком обязательств по оплате, поэтому в силу пункта 4 статьи 395 ГК РФ проценты взысканию не подлежат. Суд округа поддержал выводы судов первой и апелляционной инстанций. В кассационной жалобе заявитель указывает на то, что у судов не имелось оснований для применения пункта 4 статьи 395 ГК РФ, а выводы судов противоречат вступившему в законную силу решению Арбитражного суда города Москвы от 25.05.2020 по делу № А40-46624/2020. При этом заявитель отмечает, что решением суда по делу № А40-46624/2020 обществу отказано в удовлетворении иска о взыскании неустойки за просрочку возврата гарантийного обеспечения, начисленной в соответствии с пунктом 11.15 спорных договоров. При этом суд исходил из того, что пунктом 11.15 договоров предусмотрено начисление неустойки на случай задержки оплаты выполненных субподрядчиком и принятых генподрядчиком работ, в то время как в рассматриваемом случае общество просит взыскать неустойку в связи с нарушением компанией срока возврата гарантийного удержания; в условиях договоров прямо не указано о возможности начисления неустойки за несвоевременный возврат суммы гарантийного удержания, следовательно, сторонами не предусмотрена ответственность генподрядчика за нарушение такого срока; поскольку природа гарантийного удержания иная, чем оплата выполненных работ по договорам, оснований для взыскания неустойки не имеется. Разрешая спор по настоящему делу, суды пришли к выводу, что проценты по статье 395 ГК РФ взысканию не подлежат, поскольку сторонами согласована договорная неустойка. По мнению заявителя, в результате того, что один и тот же пункт договоров получил противоречивую оценку, возник конфликт судебных актов, 4 в результате которого компания освобождается от какой-либо ответственности за нарушение своих обязательств, что существенно нарушает права и законные интересы общества в сфере экономической деятельности.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акционерного общества по электромонтажу электростанций и подстанций «Электроуралмонтаж»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декабря 2021 года на 11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