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18.10.2021 подал в Верховный Суд Российской Федерации кассационную жалобу, в том числе на указанный судебный акт, одновременно заявив ходатайство о восстановлении пропущенного срока на ее подачу. 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Общество, извещенное о времени и месте судебного разбирательства, обратилось в Верховный Суд Российской Федерации с кассационной жалобой на постановление суда округа, пропустив предельно допустимый шестимесячный срок подачи кассационной жалобы на указанный судебный акт. Данный срок является пресекательным и восстановлению не подлежит. При таком положении в удовлетворении ходатайства о восстановлении пропущенного процессуального срока на подачу кассационной жалобы на указанное постановление суда округа следует отказать, а жалобу в этой части возвратить заявителю на основании пункта 3 части 1 статьи 291.5 АПК РФ. Руководствуясь статьями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«Сириус» о восстановлении пропущенного срока на подачу кассационной жалобы на постановление Арбитражного суда Восточно-Сибирского округа от 28.07.2020 по делу № А58-12965/2018 отказать, кассационную жалобу в указанной части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