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рассматриваемым ими делам либо уменьшить ее размер, а также отсрочить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В данном случае такие документы представлены, поэтому имеются основания для предоставления подателю жалобы отсрочки уплаты государственной пошлины. На основании изложенного и руководствуясь статьями 184 , 185 Арбитражного процессуального кодекса Российской Федерации, статьями 333.22 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«ИНТЕРСНАБ»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ООО "ИНТЕРСНАБ" (подробнее) Ответчики: ГОСУДАРСТВЕННОЕ КАЗЕННОЕ УЧРЕЖДЕНИЕ ГОРОДА МОСКВЫ "ТЕХНИЧЕСКИЙ ЦЕНТР ДЕПАРТАМЕНТА КУЛЬТУРЫ ГОРОДА МОСКВЫ" (подробнее) Судьи дела: Першутов А.Г. (судья) (подробнее) Последние документы по делу: Определение от 17 декабря 2021 г. по делу № А40-217989/2019 Определение от 21 октября 2021 г. по делу № А40-217989/2019 Определение от 12 октября 2020 г. по делу № А40-217989/2019 Определение от 25 августа 2020 г. по делу № А40-217989/2019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