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привлечении учредителей Старостина Ю.В., Старостина Г.В., Старостина А.В., Просветова А.Н., а также главного бухгалтера Лагонда Е.В. и юрисконсульта Блиновой М.Р. к субсидиарной ответственности по обязательствам должника (с учетом уточнения требований в порядке статьи 49 Арбитражного процессуального кодекса Российской Федерации). Определением арбитражного первой инстанции от 27.11.2020, оставленным без изменения постановлениями судов апелляционной инстанции от 19.04.2021 и округа от 08.07.2021, заявление конкурсного управляющего удовлетворено частично. Признано доказанным наличие оснований для привлечения Старостина Ю.В., Старостина Г.В., 2 Старостина А.В., Просветова А.Н., Лагонда Е.В. к субсидиарной ответственности по обязательствам должника. Производство по заявлению в части установления размера субсидиарной ответственности приостановлено до окончания расчетов с кредиторами. В удовлетворении остальной части заявления конкурсного управляющего отказано. В кассационных жалобах, поданных в Верховный Суд Российской Федерации, заявители просят отменить обжалуемые судебные акты в части их привлечения к субсидиарной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Разрешая спор, суд апелляционной инстанции, повторно оценив представленные по делу доказательства по правилам главы 7 Арбитражного процессуального кодекса Российской Федерации, руководствовался положениями статей 9 и 10 Федеральным закона от 26.10.2002 № 127-ФЗ «О несостоятельности (банкротстве)» (в редакциях Федерального закона от 28.04.2009 № 73-ФЗ и Федерального закона от 28.06.2013 № 134-ФЗ) с учетом разъяснений, изложенных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согласился с выводами суда первой инстанции о наличии оснований для привлечения к субсидиарной ответственности Просветова А.Н. за несвоевременную подачу заявления о признании должника банкротом, Старостина Ю.В., Старостина Г.В., Старостина А.В. и Просветова А.Н., поскольку совместные действия названных лиц по заключению подозрительной сделки с целью вывода ликвидного имущества привели к банкротству должника, а также главного бухгалтера Лагонда Е.В., действия которой по сокрытию документации, а также искажению содержащихся в ней сведений затруднили проведение применяемых в банкротстве процедур и формирование конкурсной массы. 3 С указанными выводами впоследствии согласился суд округа. Доводы кассационных жалоб выводы судов не опровергают, не подтверждают наличие существенных нарушений норм материального и (или) процессуального права, повлиявших на исход дела, и не являются достаточными основаниями для пересмотра судебных актов в кассационном порядке.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