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19.03.2020 заявленные требования удовлетворены частично, оспариваемое решение признано недействительным в части начисления пени и штрафа, в удовлетворении остальной части заявленных требований отказано. Постановлением Двадцатого арбитражного апелляционного суда от 03.12.2020 решение суда первой инстанции в части удовлетворения 2 требований общества отменено, в удовлетворении заявленных требований отказано в полном объеме. Постановлением Арбитражного суда Центрального округа от 07.06.2021 постановление апелляционного суда оставлено без изменения. Общество просит отменить обжалуемые судебные акты, считая их незаконными и необоснованными, принять новое решение об удовлетворении заявленных требований. Письмом судьи Верховного Суда Российской Федерации от 27.08.2021 были истребованы материалы дела из Арбитражного суда Брянской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статей 143, 169, 171 и 172 Налогового кодекса Российской Федерации, принимая во внимание Договор о Евразийском экономическом союзе от 29.05.2014 и статьи 19 – 20, 26 Протокола о порядке взимания косвенных налогов и механизме контроля за их уплатой при экспорте и импорте товаров, выполнении работ, оказании услуг, являющегося приложением № 18 к указанному Договору (далее – Протокола о порядке взимания косвенных налогов), суд апелляционной инстанции частично отменил решение суда первой инстанции, отказав в удовлетворении заявленных 3 требований в полном объеме, признав наличие у налогового органа правовых оснований для принятия оспариваемого решения в связи с возникновением у общества права на вычет сумм налога на добавленную стоимость по ввезенным товарам не ранее периода, в котором налог по таким товарам уплачен и отражен в соответствующей налоговой декларации и заявлении о ввозе товаров и уплате косвенных налогов с отметками налоговых органов об уплате налога, в отсутствие доказательств наличия на дату окончания установленного законодательством срока уплаты налога на добавленную переплаты в размере, равном либо превышающем заниженную сумму налога. При этом налоговая декларация по налогу на добавленную стоимость за 4 квартал 2018 года, в которой к вычету отнесена сумма налога на добавленную стоимость, уплаченная при ввозе товаров на территорию Российской Федерации, представлена обществом в налоговый орган 22.01.2019. Доводы жалобы о соблюдении обществом условий на получение права на вычет по налогу на добавленную стоимость со ссылкой на положения статьи 172 Налогового кодекса Российской Федерации выводы судов не опровергают с учетом установленного Протоколом о порядке взимания косвенных налогов последнего дня срока представления соответствующей декларации за спорный период.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