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11.12.2020, оставленным без изменения постановлением Девятого арбитражного апелляционного суда от 14.04.2021, оспариваемое постановление изменено в части назначенного наказания, размер штрафа снижен до 100 000 рублей. 2 Постановлением Арбитражного суда Московского округа от 21.07.2021 указанные судебные акты оставлены без изменения. Общество обратилось в Верховный Суд Российской Федерации с кассационной жалобой, в которой просит состоявшиеся по делу судебные акты отменить, считая их незаконными и необоснованными.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основанием для привлечения к ответственности послужил выявленный административным органом факт, свидетельствующий о нарушении обществом особых требований и правил розничной продажи алкогольной и спиртосодержащей продукции. Частью 3 статьи 14.16 Кодекса Российской Федерации об административных правонарушениях установлена ответственность за нарушение особых требований и правил розничной продажи алкогольной и спиртосодержащей продукции, за исключением случаев, предусмотренных частью 2 статьи 14.17.1 настоящего Кодекса. Оценив представленные доказательства, руководствуясь положениями статьи 11 Федерального закона от 22.11.1995 № 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продукции», Правилами продажи отдельных видов товаров, утвержденными постановлением Правительства РФ от 19.01.1998 № 55, суды пришли к выводу о наличии в действиях общества состава правонарушения, ответственность за которое предусмотрена частью 3 статьи 14.16 Кодекса Российской Федерации об административных правонарушениях, установив нарушение обществом особых требований и правил розничной продажи алкогольной и спиртосодержащей продукции, поскольку находящаяся в розничной продаже на территории Российской Федерации алкогольная 3 продукция должна сопровождаться информацией на русском языке, и содержать ряд сведений, в том числе сведения о стране происхождения алкогольной продукции. Процедура и срок давности привлечения к административной ответственности соблюдены. Оснований для применения статьи 2.9 Кодекса Российской Федерации об административных правонарушениях судами не установлено. Доводы жалобы были предметом исследования судов и получили исчерпывающую правовую оценку применительно к установленным обстоятельствам, не согласиться с которой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