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12.02.2021, оставленным без изменения постановлением Второго арбитражного апелляционного суда от 15.04.2021, в удовлетворении заявленного требования отказано. Постановлением Арбитражного суда Волго-Вятского округа от 22.07.2021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акта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общество, являясь субъектом транспортной инфраструктуры, не обеспечило соблюдение требований по обеспечению транспортной безопасности. Частью 1 статьи 11.15.1 Кодекса предусмотрена административная ответственность за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Оценив представленные доказательства, руководствуясь положениями статей 10, 12.1, 12.2 Федерального закона от 09.02.2007 № 16-ФЗ «О транспортной безопасности», подпунктов 2, 11, 12, 26 пункта 7 Требований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 утвержденных постановлением Правительства Российской Федерации от 14.09.2016 № 924, суды пришли к выводу о наличии в действиях общества состава административного правонарушения, ответственность за которое предусмотрена частью 1 статьи 11.15.1 Кодекса Российской Федерации об административных правонарушениях. Нарушений порядка привлечения к административной ответственности, а также прав и законных интересов общества при производстве по делу об административном правонарушении административным судом не выявлено. Доводы общества о нарушении административным органом территориальной компетенции при рассмотрении административного дела приводились при рассмотрении дела в судах и отклонены в связи с тем, что в данном случае имело место бездействие, связанное с несоблюдением требований в области транспортной безопасности, в отношении конкретного транспортного средства, которое было осмотрено в рамках проведенных контрольно-надзорных мероприятий, административное дело рассмотрено органом по месту совершения административного правонарушения. Оснований для применения положений статей 2.9 и 4.1.1 Кодекса Российской Федерации об административных правонарушениях получили исчерпывающую правовую оценку в обжалуемых судебных актах, не согласиться с которой оснований не выявлено.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