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10.03.2021, оставленным без изменения постановлением Пятого арбитражного апелляционного суда от 23.04.2021, в удовлетворении требования отказано. Постановлением Арбитражного суда Дальневосточного округа от 02.07.2021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Оценив представленные доказательства, руководствуясь положениями статей 2, 6, 7 84, 128 Таможенного кодекса Евразийского экономического союза,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утвержденного решением Комиссии таможенного союза от 28.05.2010 № 299, суды пришли к выводу о наличии в действиях общества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признав, что на общество как декларанта возложена обязанность по представлению документов, подтверждающих соблюдение запретов и ограничений в отношении ввозимого товара, и именно декларант должен предпринять меры для прохождения санитарно-карантинного контроля и убедиться в том, что данный контроль пройден в установленном таможенным законодательством порядке. Обстоятельств, свидетельствующих о принятии обществом всех необходимых мер, направленных на соблюдение требований действующего законодательства, не выявлено. Процедура и срок давности привлечения к ответственности соблюдены, оснований для признания правонарушения малозначительным или замены штрафа на предупреждение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