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22.10.2020, оставленным без изменения постановлением Двадцатого арбитражного апелляционного суда от 10.03.2021 и постановлением Арбитражного суда Центрального округа от 29.06.2021 , в удовлетворении заявленных требований отказано.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нарушения судами норм материального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оспоренным постановлением административного органа прекращено производство по делу об административном правонарушении в отношении арбитражного управляющего ФИО1 в связи с отсутствием в ее действиях состава правонарушения, предусмотренного частью 3 статьи 14.13 Кодекса Российской Федерации об административных правонарушениях (далее - КоАП РФ). Административный орган не усмотрел нарушений арбитражным управляющим положений Федерального закона от 26.10.2002 № 127-ФЗ "О несостоятельности (банкротстве)". Оценив представленные в материалы дела доказательства в их совокупности и взаимосвязи, руководствуясь положениями КоАП РФ, Федерального закона от 26.10.2002 № 127-ФЗ "О несостоятельности (банкротстве)", суды первой, апелляционной и кассационной инстанций пришли к выводу о наличии у административного органа оснований для прекращения производства по делу об административном правонарушении согласно части 1 статьи 24.5 КоАП РФ. Доводы жалобы по существу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Доводов, подтверждающих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порядке кассационного производства,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