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применении последствий недействительности ничтожных сделок - договоров уступки прав требований от 12.01.2018, 14.02.2018, 14.03.2018, 17.04.2018, 14.05.2018, 25.06.2018, 19.07.2018, 14.08.2018, 17.09.2018, 15.10.2018, 14.11.2018, 22.01.2019, 24.01.2019, заключенных между должником (цедентом) и частным научно-исследовательским учреждением «Тепловые ресурсы» (цессионарием; далее - ЧУ «Тепловые ресурсы»), в виде возврата ЧУ «Тепловые ресурсы» полученных от общества с ограниченной ответственностью «Управляющая компания «Ремонтно-эксплуатационное управление 1» (далее - общество «УК «РЭУ 1») денежных средств, восстановления задолженности общества «УК «РЭУ 1» перед должником в размере 2 19 937 297,72 руб. (с учетом уточнения требования в порядке статьи 49 Арбитражного процессуального кодекса Российской Федерации). Определением арбитражного суда первой инстанции от 29.01.2021, оставленным без изменения постановлениями судов апелляционной инстанции от 23.04.2021 и округа от 23.06.2021, применены последствия недействительности сделок в виде взыскания с ЧУ «Тепловые ресурсы» в пользу должника денежных средств в размере 19 937 297,72 руб. В кассационной жалобе, поданной в Верховный Суд Российской Федерации, кредитор просит отменить обжалуемые судебные акты, удовлетворить требования в полном объеме.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данный вопрос,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статьи 61.6 Федерального закона от 26.10.2002 № 127-ФЗ «О несостоятельности (банкротстве)», статей 10, 167, 382, 384, 385, 408 Гражданского кодекса Российской Федерации с учетом разъяснений, изложенных в пункте 14 информационного письма Президиума Высшего Арбитражного Суда Российской Федерации от 30.10.2007 № 120 «Обзор практики применения арбитражными судами положений главы 24 Гражданского кодекса Российской Федерации», пункте 20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и исходили из того, что в порядке реституции подлежат взысканию денежные средства с уже получившего исполнение цессионария, поскольку общество «УК «РЭУ 1» (должник в обязательстве) при осуществлении выплаты действовало добросовестно, с чем впоследствии согласился суд округа. 3 Доводы, которые бы свидетельствовали о наличии в обжалуемых судебных актах существенных нарушений норм материального и (или)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