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заявленного ходатайства заявителем не представлены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а также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Фонду «Региональный оператор фонда капитального ремонта многоквартирных домов Курской области» в удовлетворении ходатайства об отсрочке уплаты государственной пошлины за рассмотрение кассационной жалобы. Кассационную жалобу на постановление Девятнадцатого арбитражного апелляционного суда от 14.08.2020 и постановление Арбитражного суда Центрального округа от 03.02.2021 по делу № А35-11880/2019 Арбитражного суда Курской области возвратить заявителю. Судья Верховного Суда Российской Федерации М.К. Антонова Суд: Верховный Суд РФ (подробнее) Истцы: Фонд "Региональный оператор фонда капитального ремонта многоквартирных домов Курской области" (подробнее) Ответчики: Государственная жилищная инспекция Курской области (подробнее) Иные лица: Девятнадцатый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